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584" w:rsidRPr="00F10AE9" w:rsidRDefault="00D56584" w:rsidP="00D56584">
      <w:pPr>
        <w:pStyle w:val="Heading1"/>
        <w:rPr>
          <w:rStyle w:val="fontstyle01"/>
          <w:rFonts w:ascii="Segoe UI" w:hAnsi="Segoe UI" w:cs="Segoe UI"/>
          <w:b/>
          <w:color w:val="0060A9"/>
          <w:sz w:val="40"/>
          <w:szCs w:val="40"/>
        </w:rPr>
      </w:pPr>
      <w:r>
        <w:rPr>
          <w:rStyle w:val="fontstyle01"/>
          <w:rFonts w:ascii="Segoe UI" w:hAnsi="Segoe UI" w:cs="Segoe UI"/>
          <w:b/>
          <w:color w:val="0060A9"/>
          <w:sz w:val="40"/>
          <w:szCs w:val="40"/>
        </w:rPr>
        <w:t>Procedure 9</w:t>
      </w:r>
      <w:r w:rsidR="00E65168">
        <w:rPr>
          <w:rStyle w:val="fontstyle01"/>
          <w:rFonts w:ascii="Segoe UI" w:hAnsi="Segoe UI" w:cs="Segoe UI"/>
          <w:b/>
          <w:color w:val="0060A9"/>
          <w:sz w:val="40"/>
          <w:szCs w:val="40"/>
        </w:rPr>
        <w:t>18</w:t>
      </w:r>
      <w:r w:rsidRPr="00F10AE9">
        <w:rPr>
          <w:rStyle w:val="fontstyle01"/>
          <w:rFonts w:ascii="Segoe UI" w:hAnsi="Segoe UI" w:cs="Segoe UI"/>
          <w:b/>
          <w:color w:val="0060A9"/>
          <w:sz w:val="40"/>
          <w:szCs w:val="40"/>
        </w:rPr>
        <w:t xml:space="preserve">: </w:t>
      </w:r>
      <w:r>
        <w:rPr>
          <w:rStyle w:val="fontstyle01"/>
          <w:rFonts w:ascii="Segoe UI" w:hAnsi="Segoe UI" w:cs="Segoe UI"/>
          <w:b/>
          <w:color w:val="0060A9"/>
          <w:sz w:val="40"/>
          <w:szCs w:val="40"/>
        </w:rPr>
        <w:t>P</w:t>
      </w:r>
      <w:r w:rsidR="00E65168">
        <w:rPr>
          <w:rStyle w:val="fontstyle01"/>
          <w:rFonts w:ascii="Segoe UI" w:hAnsi="Segoe UI" w:cs="Segoe UI"/>
          <w:b/>
          <w:color w:val="0060A9"/>
          <w:sz w:val="40"/>
          <w:szCs w:val="40"/>
        </w:rPr>
        <w:t>rocedure for Faculty Use of Third-Party Tools in Courses</w:t>
      </w:r>
    </w:p>
    <w:p w:rsidR="00D56584" w:rsidRPr="00F10AE9" w:rsidRDefault="00D56584" w:rsidP="00D56584">
      <w:pPr>
        <w:spacing w:after="0" w:line="240" w:lineRule="auto"/>
        <w:rPr>
          <w:rFonts w:cstheme="minorHAnsi"/>
          <w:b/>
          <w:bCs/>
          <w:color w:val="000000"/>
        </w:rPr>
      </w:pPr>
      <w:r>
        <w:rPr>
          <w:rFonts w:cstheme="minorHAnsi"/>
        </w:rPr>
        <w:t xml:space="preserve">Category: </w:t>
      </w:r>
      <w:r w:rsidR="00E65168">
        <w:rPr>
          <w:rFonts w:cstheme="minorHAnsi"/>
        </w:rPr>
        <w:t>Instruction</w:t>
      </w:r>
    </w:p>
    <w:p w:rsidR="00D56584" w:rsidRPr="00F10AE9" w:rsidRDefault="00D56584" w:rsidP="00D56584">
      <w:pPr>
        <w:spacing w:after="0" w:line="240" w:lineRule="auto"/>
        <w:rPr>
          <w:rFonts w:cstheme="minorHAnsi"/>
          <w:b/>
          <w:bCs/>
          <w:color w:val="000000"/>
        </w:rPr>
      </w:pPr>
      <w:r w:rsidRPr="00F10AE9">
        <w:rPr>
          <w:rFonts w:cstheme="minorHAnsi"/>
        </w:rPr>
        <w:t xml:space="preserve">Covered Individuals: CEI </w:t>
      </w:r>
      <w:r w:rsidR="00E65168">
        <w:rPr>
          <w:rFonts w:cstheme="minorHAnsi"/>
        </w:rPr>
        <w:t>Faculty</w:t>
      </w:r>
      <w:r w:rsidRPr="00F10AE9">
        <w:rPr>
          <w:rFonts w:cstheme="minorHAnsi"/>
        </w:rPr>
        <w:t xml:space="preserve"> </w:t>
      </w:r>
    </w:p>
    <w:p w:rsidR="00D56584" w:rsidRDefault="00D56584" w:rsidP="00D56584">
      <w:pPr>
        <w:spacing w:after="0" w:line="240" w:lineRule="auto"/>
        <w:rPr>
          <w:rFonts w:cstheme="minorHAnsi"/>
        </w:rPr>
      </w:pPr>
      <w:r w:rsidRPr="00F10AE9">
        <w:rPr>
          <w:rFonts w:cstheme="minorHAnsi"/>
        </w:rPr>
        <w:t xml:space="preserve">Approved: </w:t>
      </w:r>
      <w:r w:rsidR="00951983">
        <w:rPr>
          <w:rFonts w:cstheme="minorHAnsi"/>
        </w:rPr>
        <w:t>9/3/2024</w:t>
      </w:r>
      <w:bookmarkStart w:id="0" w:name="_GoBack"/>
      <w:bookmarkEnd w:id="0"/>
    </w:p>
    <w:p w:rsidR="00BE55B7" w:rsidRPr="00F10AE9" w:rsidRDefault="00BE55B7" w:rsidP="00D56584">
      <w:pPr>
        <w:spacing w:after="0" w:line="240" w:lineRule="auto"/>
        <w:rPr>
          <w:rFonts w:cstheme="minorHAnsi"/>
        </w:rPr>
      </w:pPr>
      <w:r>
        <w:rPr>
          <w:rFonts w:cstheme="minorHAnsi"/>
        </w:rPr>
        <w:t xml:space="preserve">Formerly Approved: </w:t>
      </w:r>
      <w:r w:rsidR="00951983">
        <w:rPr>
          <w:rFonts w:cstheme="minorHAnsi"/>
        </w:rPr>
        <w:t>7/29/2024</w:t>
      </w:r>
    </w:p>
    <w:p w:rsidR="00532BD0" w:rsidRDefault="00951983"/>
    <w:p w:rsidR="00F433E3" w:rsidRPr="00E65168" w:rsidRDefault="00E65168" w:rsidP="00E65168">
      <w:pPr>
        <w:spacing w:after="0" w:line="240" w:lineRule="auto"/>
        <w:rPr>
          <w:rFonts w:ascii="Segoe UI" w:hAnsi="Segoe UI" w:cs="Segoe UI"/>
          <w:b/>
          <w:color w:val="0060A9"/>
          <w:sz w:val="28"/>
          <w:szCs w:val="28"/>
        </w:rPr>
      </w:pPr>
      <w:r>
        <w:rPr>
          <w:rFonts w:ascii="Segoe UI" w:hAnsi="Segoe UI" w:cs="Segoe UI"/>
          <w:b/>
          <w:color w:val="0060A9"/>
          <w:sz w:val="28"/>
          <w:szCs w:val="28"/>
        </w:rPr>
        <w:t xml:space="preserve">918.1 </w:t>
      </w:r>
      <w:r w:rsidR="00D442C0" w:rsidRPr="00E65168">
        <w:rPr>
          <w:rFonts w:ascii="Segoe UI" w:hAnsi="Segoe UI" w:cs="Segoe UI"/>
          <w:b/>
          <w:color w:val="0060A9"/>
          <w:sz w:val="28"/>
          <w:szCs w:val="28"/>
        </w:rPr>
        <w:t xml:space="preserve">Procedure </w:t>
      </w:r>
    </w:p>
    <w:p w:rsidR="00E65168" w:rsidRPr="00372A0F" w:rsidRDefault="00E65168" w:rsidP="00E65168">
      <w:pPr>
        <w:spacing w:before="100" w:beforeAutospacing="1" w:after="100" w:afterAutospacing="1" w:line="240" w:lineRule="auto"/>
        <w:rPr>
          <w:rFonts w:eastAsia="Times New Roman" w:cstheme="minorHAnsi"/>
        </w:rPr>
      </w:pPr>
      <w:r w:rsidRPr="00372A0F">
        <w:rPr>
          <w:rFonts w:eastAsia="Times New Roman" w:cstheme="minorHAnsi"/>
        </w:rPr>
        <w:t>The faculty at the College of Eastern Idaho may utilize third-party tools to enhance educational experiences. While these resources can be beneficial, they pose potential security risks, particularly those requiring personal data for account creation. This document provides a framework for faculty to responsibly incorporate such tools into their curriculum.</w:t>
      </w:r>
    </w:p>
    <w:p w:rsidR="00E65168" w:rsidRPr="00372A0F" w:rsidRDefault="00E65168" w:rsidP="00E65168">
      <w:pPr>
        <w:rPr>
          <w:rFonts w:cstheme="minorHAnsi"/>
          <w:b/>
        </w:rPr>
      </w:pPr>
      <w:r w:rsidRPr="00372A0F">
        <w:rPr>
          <w:rFonts w:cstheme="minorHAnsi"/>
          <w:b/>
        </w:rPr>
        <w:t>Definition of Third-Party Tools:</w:t>
      </w:r>
    </w:p>
    <w:p w:rsidR="00BE55B7" w:rsidRPr="000D28BE" w:rsidRDefault="00BE55B7" w:rsidP="00BE55B7">
      <w:pPr>
        <w:pStyle w:val="ListParagraph"/>
      </w:pPr>
      <w:r w:rsidRPr="005952AF">
        <w:t>A third-party tool is any software, service, or website developed by an external company that is used to support the needs of the college. These tools are not created by the educational institution itself but can be integrated into the institution’s systems to enhance the educational experience. These tools typically need user data such as email addresses, names, or other personal information to create an account and provide access to its services. ​</w:t>
      </w:r>
      <w:r>
        <w:t xml:space="preserve"> </w:t>
      </w:r>
    </w:p>
    <w:p w:rsidR="00BE55B7" w:rsidRPr="00372A0F" w:rsidRDefault="00BE55B7" w:rsidP="00E65168">
      <w:pPr>
        <w:rPr>
          <w:rFonts w:cstheme="minorHAnsi"/>
        </w:rPr>
      </w:pPr>
    </w:p>
    <w:p w:rsidR="00E65168" w:rsidRPr="00372A0F" w:rsidRDefault="00E65168" w:rsidP="00E65168">
      <w:pPr>
        <w:numPr>
          <w:ilvl w:val="0"/>
          <w:numId w:val="6"/>
        </w:numPr>
        <w:spacing w:before="100" w:beforeAutospacing="1" w:after="100" w:afterAutospacing="1" w:line="240" w:lineRule="auto"/>
        <w:rPr>
          <w:rFonts w:eastAsia="Times New Roman" w:cstheme="minorHAnsi"/>
        </w:rPr>
      </w:pPr>
      <w:r w:rsidRPr="00372A0F">
        <w:rPr>
          <w:rFonts w:eastAsia="Times New Roman" w:cstheme="minorHAnsi"/>
          <w:b/>
          <w:bCs/>
        </w:rPr>
        <w:t>Risk Assessment</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Legal, Regulatory, and Compliance Risks</w:t>
      </w:r>
      <w:r w:rsidRPr="00372A0F">
        <w:rPr>
          <w:rFonts w:eastAsia="Times New Roman" w:cstheme="minorHAnsi"/>
        </w:rPr>
        <w:t>: Usage of third-party services may impact legal standards and institutional agreements, including GDPR and FERPA.</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Cybersecurity Risks</w:t>
      </w:r>
      <w:r w:rsidRPr="00372A0F">
        <w:rPr>
          <w:rFonts w:eastAsia="Times New Roman" w:cstheme="minorHAnsi"/>
        </w:rPr>
        <w:t>: There is an inherent risk of cyber threats and data breaches associated with third-party tools.</w:t>
      </w:r>
    </w:p>
    <w:p w:rsidR="00E65168" w:rsidRPr="00372A0F" w:rsidRDefault="00E65168" w:rsidP="00E65168">
      <w:pPr>
        <w:spacing w:before="100" w:beforeAutospacing="1" w:after="100" w:afterAutospacing="1" w:line="240" w:lineRule="auto"/>
        <w:rPr>
          <w:rFonts w:eastAsia="Times New Roman" w:cstheme="minorHAnsi"/>
        </w:rPr>
      </w:pPr>
    </w:p>
    <w:p w:rsidR="00E65168" w:rsidRPr="00372A0F" w:rsidRDefault="00E65168" w:rsidP="00E65168">
      <w:pPr>
        <w:numPr>
          <w:ilvl w:val="0"/>
          <w:numId w:val="6"/>
        </w:numPr>
        <w:spacing w:before="100" w:beforeAutospacing="1" w:after="100" w:afterAutospacing="1" w:line="240" w:lineRule="auto"/>
        <w:rPr>
          <w:rFonts w:eastAsia="Times New Roman" w:cstheme="minorHAnsi"/>
        </w:rPr>
      </w:pPr>
      <w:r w:rsidRPr="00372A0F">
        <w:rPr>
          <w:rFonts w:eastAsia="Times New Roman" w:cstheme="minorHAnsi"/>
          <w:b/>
          <w:bCs/>
        </w:rPr>
        <w:t>Faculty Responsibilities</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Approval Requirement</w:t>
      </w:r>
      <w:r w:rsidRPr="00372A0F">
        <w:rPr>
          <w:rFonts w:eastAsia="Times New Roman" w:cstheme="minorHAnsi"/>
        </w:rPr>
        <w:t xml:space="preserve">: Faculty must obtain authorization via Third-Party Tool Request Form (located in the </w:t>
      </w:r>
      <w:proofErr w:type="spellStart"/>
      <w:r w:rsidRPr="00372A0F">
        <w:rPr>
          <w:rFonts w:eastAsia="Times New Roman" w:cstheme="minorHAnsi"/>
        </w:rPr>
        <w:t>SoftDocs</w:t>
      </w:r>
      <w:proofErr w:type="spellEnd"/>
      <w:r w:rsidRPr="00372A0F">
        <w:rPr>
          <w:rFonts w:eastAsia="Times New Roman" w:cstheme="minorHAnsi"/>
        </w:rPr>
        <w:t xml:space="preserve"> Central Forms) from IT, their Department Chair, and Dean before integrating a third-party tool into their course. Submission deadlines are: </w:t>
      </w:r>
    </w:p>
    <w:p w:rsidR="00E65168" w:rsidRPr="00372A0F" w:rsidRDefault="00E65168" w:rsidP="00E65168">
      <w:pPr>
        <w:numPr>
          <w:ilvl w:val="2"/>
          <w:numId w:val="6"/>
        </w:numPr>
        <w:spacing w:before="100" w:beforeAutospacing="1" w:after="100" w:afterAutospacing="1" w:line="240" w:lineRule="auto"/>
        <w:rPr>
          <w:rFonts w:eastAsia="Times New Roman" w:cstheme="minorHAnsi"/>
        </w:rPr>
      </w:pPr>
      <w:r w:rsidRPr="00372A0F">
        <w:rPr>
          <w:rFonts w:eastAsia="Times New Roman" w:cstheme="minorHAnsi"/>
        </w:rPr>
        <w:t>April 30th for the Fall Semester</w:t>
      </w:r>
    </w:p>
    <w:p w:rsidR="00E65168" w:rsidRPr="00372A0F" w:rsidRDefault="00E65168" w:rsidP="00E65168">
      <w:pPr>
        <w:numPr>
          <w:ilvl w:val="2"/>
          <w:numId w:val="6"/>
        </w:numPr>
        <w:spacing w:before="100" w:beforeAutospacing="1" w:after="100" w:afterAutospacing="1" w:line="240" w:lineRule="auto"/>
        <w:rPr>
          <w:rFonts w:eastAsia="Times New Roman" w:cstheme="minorHAnsi"/>
        </w:rPr>
      </w:pPr>
      <w:r w:rsidRPr="00372A0F">
        <w:rPr>
          <w:rFonts w:eastAsia="Times New Roman" w:cstheme="minorHAnsi"/>
        </w:rPr>
        <w:t>October 31st for the Spring Semester</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Vetting Process</w:t>
      </w:r>
      <w:r w:rsidRPr="00372A0F">
        <w:rPr>
          <w:rFonts w:eastAsia="Times New Roman" w:cstheme="minorHAnsi"/>
        </w:rPr>
        <w:t>: The CEI Cybersecurity team will evaluate the tool’s security, compliance, and accessibility pre-departmental approval. Upon completion of the vetting process, all involved parties will receive notification regarding the final approval status of the tool.</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Disclosure</w:t>
      </w:r>
      <w:r w:rsidRPr="00372A0F">
        <w:rPr>
          <w:rFonts w:eastAsia="Times New Roman" w:cstheme="minorHAnsi"/>
        </w:rPr>
        <w:t xml:space="preserve">: Faculty are required to: </w:t>
      </w:r>
    </w:p>
    <w:p w:rsidR="00E65168" w:rsidRPr="00372A0F" w:rsidRDefault="00E65168" w:rsidP="00E65168">
      <w:pPr>
        <w:numPr>
          <w:ilvl w:val="2"/>
          <w:numId w:val="6"/>
        </w:numPr>
        <w:spacing w:before="100" w:beforeAutospacing="1" w:after="100" w:afterAutospacing="1" w:line="240" w:lineRule="auto"/>
        <w:rPr>
          <w:rFonts w:eastAsia="Times New Roman" w:cstheme="minorHAnsi"/>
        </w:rPr>
      </w:pPr>
      <w:r w:rsidRPr="00372A0F">
        <w:rPr>
          <w:rFonts w:eastAsia="Times New Roman" w:cstheme="minorHAnsi"/>
        </w:rPr>
        <w:t>Inform students about any third-party tool usage and associated costs.</w:t>
      </w:r>
    </w:p>
    <w:p w:rsidR="00E65168" w:rsidRPr="00372A0F" w:rsidRDefault="00E65168" w:rsidP="00E65168">
      <w:pPr>
        <w:numPr>
          <w:ilvl w:val="2"/>
          <w:numId w:val="6"/>
        </w:numPr>
        <w:spacing w:before="100" w:beforeAutospacing="1" w:after="100" w:afterAutospacing="1" w:line="240" w:lineRule="auto"/>
        <w:rPr>
          <w:rFonts w:eastAsia="Times New Roman" w:cstheme="minorHAnsi"/>
        </w:rPr>
      </w:pPr>
      <w:r w:rsidRPr="00372A0F">
        <w:rPr>
          <w:rFonts w:eastAsia="Times New Roman" w:cstheme="minorHAnsi"/>
        </w:rPr>
        <w:lastRenderedPageBreak/>
        <w:t>Report security incidents related to third-party tools to the IT department.</w:t>
      </w:r>
    </w:p>
    <w:p w:rsidR="00E65168" w:rsidRPr="00372A0F" w:rsidRDefault="00E65168" w:rsidP="00E65168">
      <w:pPr>
        <w:spacing w:before="100" w:beforeAutospacing="1" w:after="100" w:afterAutospacing="1" w:line="240" w:lineRule="auto"/>
        <w:rPr>
          <w:rFonts w:eastAsia="Times New Roman" w:cstheme="minorHAnsi"/>
        </w:rPr>
      </w:pPr>
    </w:p>
    <w:p w:rsidR="00E65168" w:rsidRPr="00372A0F" w:rsidRDefault="00E65168" w:rsidP="00E65168">
      <w:pPr>
        <w:numPr>
          <w:ilvl w:val="0"/>
          <w:numId w:val="6"/>
        </w:numPr>
        <w:spacing w:before="100" w:beforeAutospacing="1" w:after="100" w:afterAutospacing="1" w:line="240" w:lineRule="auto"/>
        <w:rPr>
          <w:rFonts w:eastAsia="Times New Roman" w:cstheme="minorHAnsi"/>
        </w:rPr>
      </w:pPr>
      <w:r w:rsidRPr="00372A0F">
        <w:rPr>
          <w:rFonts w:eastAsia="Times New Roman" w:cstheme="minorHAnsi"/>
          <w:b/>
          <w:bCs/>
        </w:rPr>
        <w:t>Best Practices</w:t>
      </w:r>
    </w:p>
    <w:p w:rsidR="00E65168"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Regular Audits</w:t>
      </w:r>
      <w:r w:rsidRPr="00372A0F">
        <w:rPr>
          <w:rFonts w:eastAsia="Times New Roman" w:cstheme="minorHAnsi"/>
        </w:rPr>
        <w:t>: IT will conduct annual reviews of third-party tools to ensure ongoing compliance with CEI security standards. Non-compliant tools may be removed from the approved list.</w:t>
      </w:r>
    </w:p>
    <w:p w:rsidR="00BE55B7" w:rsidRDefault="00BE55B7" w:rsidP="00E65168">
      <w:pPr>
        <w:numPr>
          <w:ilvl w:val="1"/>
          <w:numId w:val="6"/>
        </w:numPr>
        <w:spacing w:before="100" w:beforeAutospacing="1" w:after="100" w:afterAutospacing="1" w:line="240" w:lineRule="auto"/>
        <w:rPr>
          <w:rFonts w:eastAsia="Times New Roman" w:cstheme="minorHAnsi"/>
        </w:rPr>
      </w:pPr>
    </w:p>
    <w:p w:rsidR="00BE55B7" w:rsidRDefault="00BE55B7" w:rsidP="00BE55B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534F9">
        <w:rPr>
          <w:rFonts w:ascii="Times New Roman" w:eastAsia="Times New Roman" w:hAnsi="Times New Roman" w:cs="Times New Roman"/>
          <w:b/>
          <w:sz w:val="24"/>
          <w:szCs w:val="24"/>
        </w:rPr>
        <w:t>Process and Procedure Changes:</w:t>
      </w:r>
      <w:r w:rsidRPr="003534F9">
        <w:rPr>
          <w:rFonts w:ascii="Times New Roman" w:eastAsia="Times New Roman" w:hAnsi="Times New Roman" w:cs="Times New Roman"/>
          <w:sz w:val="24"/>
          <w:szCs w:val="24"/>
        </w:rPr>
        <w:t xml:space="preserve"> </w:t>
      </w:r>
      <w:r w:rsidRPr="00D228AE">
        <w:rPr>
          <w:rFonts w:ascii="Times New Roman" w:eastAsia="Times New Roman" w:hAnsi="Times New Roman" w:cs="Times New Roman"/>
          <w:sz w:val="24"/>
          <w:szCs w:val="24"/>
        </w:rPr>
        <w:t>During updates to processes and procedures Deans</w:t>
      </w:r>
      <w:r>
        <w:rPr>
          <w:rFonts w:ascii="Times New Roman" w:eastAsia="Times New Roman" w:hAnsi="Times New Roman" w:cs="Times New Roman"/>
          <w:sz w:val="24"/>
          <w:szCs w:val="24"/>
        </w:rPr>
        <w:t>,</w:t>
      </w:r>
      <w:r w:rsidRPr="00D22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collaboration with</w:t>
      </w:r>
      <w:r w:rsidRPr="00D228AE">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r w:rsidRPr="00D228AE">
        <w:rPr>
          <w:rFonts w:ascii="Times New Roman" w:eastAsia="Times New Roman" w:hAnsi="Times New Roman" w:cs="Times New Roman"/>
          <w:sz w:val="24"/>
          <w:szCs w:val="24"/>
        </w:rPr>
        <w:t xml:space="preserve"> may issue new instructions that must be followed. These instructions can be communicated verbally or electronically</w:t>
      </w:r>
      <w:r>
        <w:rPr>
          <w:rFonts w:ascii="Times New Roman" w:eastAsia="Times New Roman" w:hAnsi="Times New Roman" w:cs="Times New Roman"/>
          <w:sz w:val="24"/>
          <w:szCs w:val="24"/>
        </w:rPr>
        <w:t xml:space="preserve"> to the faculty</w:t>
      </w:r>
      <w:r w:rsidRPr="00D228AE">
        <w:rPr>
          <w:rFonts w:ascii="Times New Roman" w:eastAsia="Times New Roman" w:hAnsi="Times New Roman" w:cs="Times New Roman"/>
          <w:sz w:val="24"/>
          <w:szCs w:val="24"/>
        </w:rPr>
        <w:t>. It is implicitly understood that maintaining the security of the college’s data is the highest priority during these transitions.</w:t>
      </w:r>
    </w:p>
    <w:p w:rsidR="00BE55B7" w:rsidRDefault="00BE55B7" w:rsidP="00BE55B7">
      <w:pPr>
        <w:pStyle w:val="ListParagraph"/>
        <w:spacing w:before="100" w:beforeAutospacing="1" w:after="100" w:afterAutospacing="1" w:line="240" w:lineRule="auto"/>
        <w:rPr>
          <w:rFonts w:ascii="Times New Roman" w:eastAsia="Times New Roman" w:hAnsi="Times New Roman" w:cs="Times New Roman"/>
          <w:sz w:val="24"/>
          <w:szCs w:val="24"/>
        </w:rPr>
      </w:pPr>
    </w:p>
    <w:p w:rsidR="00E65168" w:rsidRPr="00372A0F" w:rsidRDefault="00E65168" w:rsidP="00E65168">
      <w:pPr>
        <w:numPr>
          <w:ilvl w:val="0"/>
          <w:numId w:val="6"/>
        </w:numPr>
        <w:spacing w:before="100" w:beforeAutospacing="1" w:after="100" w:afterAutospacing="1" w:line="240" w:lineRule="auto"/>
        <w:rPr>
          <w:rFonts w:eastAsia="Times New Roman" w:cstheme="minorHAnsi"/>
        </w:rPr>
      </w:pPr>
      <w:r w:rsidRPr="00372A0F">
        <w:rPr>
          <w:rFonts w:eastAsia="Times New Roman" w:cstheme="minorHAnsi"/>
          <w:b/>
          <w:bCs/>
        </w:rPr>
        <w:t xml:space="preserve">Noncompliance </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Immediate Written Warning</w:t>
      </w:r>
      <w:r w:rsidRPr="00372A0F">
        <w:rPr>
          <w:rFonts w:eastAsia="Times New Roman" w:cstheme="minorHAnsi"/>
          <w:color w:val="000000"/>
        </w:rPr>
        <w:t xml:space="preserve"> Because the vulnerability of the college infrastructure may become compromised, faculty members who disregard these procedures will receive a written warning, skipping the verbal warning phase, due to the nature of the violation of this procedure. </w:t>
      </w:r>
    </w:p>
    <w:p w:rsidR="00E65168" w:rsidRPr="00372A0F" w:rsidRDefault="00E65168" w:rsidP="00E65168">
      <w:pPr>
        <w:numPr>
          <w:ilvl w:val="1"/>
          <w:numId w:val="6"/>
        </w:numPr>
        <w:spacing w:before="100" w:beforeAutospacing="1" w:after="100" w:afterAutospacing="1" w:line="240" w:lineRule="auto"/>
        <w:rPr>
          <w:rFonts w:eastAsia="Times New Roman" w:cstheme="minorHAnsi"/>
        </w:rPr>
      </w:pPr>
      <w:r w:rsidRPr="00372A0F">
        <w:rPr>
          <w:rFonts w:eastAsia="Times New Roman" w:cstheme="minorHAnsi"/>
          <w:b/>
          <w:bCs/>
        </w:rPr>
        <w:t>Dismissal</w:t>
      </w:r>
      <w:r w:rsidRPr="00372A0F">
        <w:rPr>
          <w:rFonts w:eastAsia="Times New Roman" w:cstheme="minorHAnsi"/>
        </w:rPr>
        <w:t>: Persistent noncompliance or a single incident leading to a security breach may result in dismissal. Dismissal decisions will adhere to the college’s disciplinary protocols, potentially involving evaluations by the Department Chair, Dean, and HR Department.</w:t>
      </w:r>
    </w:p>
    <w:p w:rsidR="00E65168" w:rsidRPr="00372A0F" w:rsidRDefault="00BE55B7" w:rsidP="00E65168">
      <w:pPr>
        <w:numPr>
          <w:ilvl w:val="1"/>
          <w:numId w:val="6"/>
        </w:numPr>
        <w:spacing w:before="100" w:beforeAutospacing="1" w:after="100" w:afterAutospacing="1" w:line="240" w:lineRule="auto"/>
        <w:rPr>
          <w:rFonts w:eastAsia="Times New Roman" w:cstheme="minorHAnsi"/>
        </w:rPr>
      </w:pPr>
      <w:r>
        <w:rPr>
          <w:rFonts w:eastAsia="Times New Roman" w:cstheme="minorHAnsi"/>
        </w:rPr>
        <w:t xml:space="preserve">Dean’s Responsibilities: </w:t>
      </w:r>
      <w:r w:rsidR="00E65168" w:rsidRPr="00372A0F">
        <w:rPr>
          <w:rFonts w:eastAsia="Times New Roman" w:cstheme="minorHAnsi"/>
        </w:rPr>
        <w:t>The Dean to whom the faculty member reports is responsible for initiating disciplinary actions. Depending on the severity of the offense, the Dean may seek guidance from the IT department to assess the impact and determine appropriate measures.</w:t>
      </w:r>
    </w:p>
    <w:p w:rsidR="00E65168" w:rsidRDefault="00E65168" w:rsidP="00E65168"/>
    <w:p w:rsidR="00E65168" w:rsidRDefault="00E65168" w:rsidP="00E65168">
      <w:pPr>
        <w:spacing w:before="100" w:beforeAutospacing="1" w:after="100" w:afterAutospacing="1" w:line="240" w:lineRule="auto"/>
        <w:rPr>
          <w:rFonts w:ascii="Times New Roman" w:eastAsia="Times New Roman" w:hAnsi="Times New Roman" w:cs="Times New Roman"/>
          <w:sz w:val="24"/>
          <w:szCs w:val="24"/>
        </w:rPr>
      </w:pPr>
    </w:p>
    <w:sectPr w:rsidR="00E651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5DD" w:rsidRDefault="00B105DD" w:rsidP="00A25B6D">
      <w:pPr>
        <w:spacing w:after="0" w:line="240" w:lineRule="auto"/>
      </w:pPr>
      <w:r>
        <w:separator/>
      </w:r>
    </w:p>
  </w:endnote>
  <w:endnote w:type="continuationSeparator" w:id="0">
    <w:p w:rsidR="00B105DD" w:rsidRDefault="00B105DD" w:rsidP="00A2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4" w:rsidRDefault="00D5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4" w:rsidRDefault="00D56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4" w:rsidRDefault="00D5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5DD" w:rsidRDefault="00B105DD" w:rsidP="00A25B6D">
      <w:pPr>
        <w:spacing w:after="0" w:line="240" w:lineRule="auto"/>
      </w:pPr>
      <w:r>
        <w:separator/>
      </w:r>
    </w:p>
  </w:footnote>
  <w:footnote w:type="continuationSeparator" w:id="0">
    <w:p w:rsidR="00B105DD" w:rsidRDefault="00B105DD" w:rsidP="00A2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4" w:rsidRDefault="009519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695954" o:spid="_x0000_s2051" type="#_x0000_t75" style="position:absolute;margin-left:0;margin-top:0;width:243.1pt;height:149.5pt;z-index:-251657216;mso-position-horizontal:center;mso-position-horizontal-relative:margin;mso-position-vertical:center;mso-position-vertical-relative:margin" o:allowincell="f">
          <v:imagedata r:id="rId1" o:title="C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545374"/>
      <w:docPartObj>
        <w:docPartGallery w:val="Watermarks"/>
        <w:docPartUnique/>
      </w:docPartObj>
    </w:sdtPr>
    <w:sdtEndPr/>
    <w:sdtContent>
      <w:p w:rsidR="00A25B6D" w:rsidRDefault="009519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695955" o:spid="_x0000_s2052" type="#_x0000_t75" style="position:absolute;margin-left:0;margin-top:0;width:243.1pt;height:149.5pt;z-index:-251656192;mso-position-horizontal:center;mso-position-horizontal-relative:margin;mso-position-vertical:center;mso-position-vertical-relative:margin" o:allowincell="f">
              <v:imagedata r:id="rId1" o:title="CEI"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4" w:rsidRDefault="009519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695953" o:spid="_x0000_s2050" type="#_x0000_t75" style="position:absolute;margin-left:0;margin-top:0;width:243.1pt;height:149.5pt;z-index:-251658240;mso-position-horizontal:center;mso-position-horizontal-relative:margin;mso-position-vertical:center;mso-position-vertical-relative:margin" o:allowincell="f">
          <v:imagedata r:id="rId1" o:title="C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27EF"/>
    <w:multiLevelType w:val="multilevel"/>
    <w:tmpl w:val="468E3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E09DD"/>
    <w:multiLevelType w:val="hybridMultilevel"/>
    <w:tmpl w:val="08BA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A338B"/>
    <w:multiLevelType w:val="multilevel"/>
    <w:tmpl w:val="2F6A40BE"/>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0474F7B"/>
    <w:multiLevelType w:val="hybridMultilevel"/>
    <w:tmpl w:val="A82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A7DA2"/>
    <w:multiLevelType w:val="multilevel"/>
    <w:tmpl w:val="FD100454"/>
    <w:lvl w:ilvl="0">
      <w:start w:val="90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F107C0"/>
    <w:multiLevelType w:val="multilevel"/>
    <w:tmpl w:val="FD100454"/>
    <w:lvl w:ilvl="0">
      <w:start w:val="90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E3"/>
    <w:rsid w:val="00194BF3"/>
    <w:rsid w:val="00251583"/>
    <w:rsid w:val="00372A0F"/>
    <w:rsid w:val="003A4988"/>
    <w:rsid w:val="003C3A07"/>
    <w:rsid w:val="00407B85"/>
    <w:rsid w:val="0042551E"/>
    <w:rsid w:val="0047557F"/>
    <w:rsid w:val="006F43D1"/>
    <w:rsid w:val="00951983"/>
    <w:rsid w:val="00960F1C"/>
    <w:rsid w:val="00A25B6D"/>
    <w:rsid w:val="00A2632D"/>
    <w:rsid w:val="00AA6974"/>
    <w:rsid w:val="00AD24F6"/>
    <w:rsid w:val="00B105DD"/>
    <w:rsid w:val="00B311F3"/>
    <w:rsid w:val="00BE55B7"/>
    <w:rsid w:val="00C65D51"/>
    <w:rsid w:val="00C9238F"/>
    <w:rsid w:val="00CB1AA7"/>
    <w:rsid w:val="00D21CFF"/>
    <w:rsid w:val="00D22353"/>
    <w:rsid w:val="00D442C0"/>
    <w:rsid w:val="00D56584"/>
    <w:rsid w:val="00E65168"/>
    <w:rsid w:val="00F433E3"/>
    <w:rsid w:val="00F7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806F62"/>
  <w15:chartTrackingRefBased/>
  <w15:docId w15:val="{357FA1F9-3EDF-4642-9907-0532DEB9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6D"/>
  </w:style>
  <w:style w:type="paragraph" w:styleId="Footer">
    <w:name w:val="footer"/>
    <w:basedOn w:val="Normal"/>
    <w:link w:val="FooterChar"/>
    <w:uiPriority w:val="99"/>
    <w:unhideWhenUsed/>
    <w:rsid w:val="00A2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6D"/>
  </w:style>
  <w:style w:type="character" w:customStyle="1" w:styleId="Heading1Char">
    <w:name w:val="Heading 1 Char"/>
    <w:basedOn w:val="DefaultParagraphFont"/>
    <w:link w:val="Heading1"/>
    <w:uiPriority w:val="9"/>
    <w:rsid w:val="00D56584"/>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D56584"/>
    <w:rPr>
      <w:rFonts w:ascii="TimesNewRomanPSMT" w:hAnsi="TimesNewRomanPSMT" w:hint="default"/>
      <w:b w:val="0"/>
      <w:bCs w:val="0"/>
      <w:i w:val="0"/>
      <w:iCs w:val="0"/>
      <w:color w:val="000000"/>
      <w:sz w:val="16"/>
      <w:szCs w:val="16"/>
    </w:rPr>
  </w:style>
  <w:style w:type="paragraph" w:styleId="BalloonText">
    <w:name w:val="Balloon Text"/>
    <w:basedOn w:val="Normal"/>
    <w:link w:val="BalloonTextChar"/>
    <w:uiPriority w:val="99"/>
    <w:semiHidden/>
    <w:unhideWhenUsed/>
    <w:rsid w:val="003C3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07"/>
    <w:rPr>
      <w:rFonts w:ascii="Segoe UI" w:hAnsi="Segoe UI" w:cs="Segoe UI"/>
      <w:sz w:val="18"/>
      <w:szCs w:val="18"/>
    </w:rPr>
  </w:style>
  <w:style w:type="paragraph" w:styleId="ListParagraph">
    <w:name w:val="List Paragraph"/>
    <w:basedOn w:val="Normal"/>
    <w:uiPriority w:val="34"/>
    <w:qFormat/>
    <w:rsid w:val="003C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9D64-3185-4FE9-947B-74B29A54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O Nielson</dc:creator>
  <cp:keywords/>
  <dc:description/>
  <cp:lastModifiedBy>Mary A Taylor</cp:lastModifiedBy>
  <cp:revision>3</cp:revision>
  <cp:lastPrinted>2021-05-19T19:38:00Z</cp:lastPrinted>
  <dcterms:created xsi:type="dcterms:W3CDTF">2024-08-28T18:01:00Z</dcterms:created>
  <dcterms:modified xsi:type="dcterms:W3CDTF">2024-09-04T15:15:00Z</dcterms:modified>
</cp:coreProperties>
</file>